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63"/>
        <w:gridCol w:w="1537"/>
        <w:gridCol w:w="1905"/>
        <w:gridCol w:w="1597"/>
        <w:gridCol w:w="1625"/>
        <w:gridCol w:w="1565"/>
        <w:gridCol w:w="1598"/>
        <w:gridCol w:w="1586"/>
      </w:tblGrid>
      <w:tr w:rsidR="00CE1098" w:rsidTr="00CE1098">
        <w:tc>
          <w:tcPr>
            <w:tcW w:w="1647" w:type="dxa"/>
          </w:tcPr>
          <w:p w:rsidR="00CE1098" w:rsidRPr="00CE1098" w:rsidRDefault="00CE1098" w:rsidP="00CE1098">
            <w:pPr>
              <w:jc w:val="center"/>
              <w:rPr>
                <w:b/>
                <w:sz w:val="24"/>
              </w:rPr>
            </w:pPr>
            <w:r w:rsidRPr="00CE1098">
              <w:rPr>
                <w:b/>
                <w:sz w:val="24"/>
              </w:rPr>
              <w:t>Bond Type</w:t>
            </w:r>
          </w:p>
        </w:tc>
        <w:tc>
          <w:tcPr>
            <w:tcW w:w="1647" w:type="dxa"/>
          </w:tcPr>
          <w:p w:rsidR="00CE1098" w:rsidRPr="00CE1098" w:rsidRDefault="00CE1098" w:rsidP="00CE1098">
            <w:pPr>
              <w:jc w:val="center"/>
              <w:rPr>
                <w:b/>
                <w:sz w:val="24"/>
              </w:rPr>
            </w:pPr>
            <w:r w:rsidRPr="00CE1098">
              <w:rPr>
                <w:b/>
                <w:sz w:val="24"/>
              </w:rPr>
              <w:t>Atom Type</w:t>
            </w:r>
          </w:p>
        </w:tc>
        <w:tc>
          <w:tcPr>
            <w:tcW w:w="1647" w:type="dxa"/>
          </w:tcPr>
          <w:p w:rsidR="00CE1098" w:rsidRPr="00CE1098" w:rsidRDefault="00CE1098" w:rsidP="00CE1098">
            <w:pPr>
              <w:jc w:val="center"/>
              <w:rPr>
                <w:b/>
                <w:sz w:val="24"/>
              </w:rPr>
            </w:pPr>
            <w:proofErr w:type="spellStart"/>
            <w:r w:rsidRPr="00CE1098">
              <w:rPr>
                <w:b/>
                <w:sz w:val="24"/>
              </w:rPr>
              <w:t>Electronegativity</w:t>
            </w:r>
            <w:proofErr w:type="spellEnd"/>
            <w:r w:rsidRPr="00CE1098">
              <w:rPr>
                <w:b/>
                <w:sz w:val="24"/>
              </w:rPr>
              <w:t xml:space="preserve"> Difference</w:t>
            </w:r>
          </w:p>
        </w:tc>
        <w:tc>
          <w:tcPr>
            <w:tcW w:w="1647" w:type="dxa"/>
          </w:tcPr>
          <w:p w:rsidR="00CE1098" w:rsidRPr="00CE1098" w:rsidRDefault="00CE1098" w:rsidP="00CE1098">
            <w:pPr>
              <w:jc w:val="center"/>
              <w:rPr>
                <w:b/>
                <w:sz w:val="24"/>
              </w:rPr>
            </w:pPr>
            <w:r w:rsidRPr="00CE1098">
              <w:rPr>
                <w:b/>
                <w:sz w:val="24"/>
              </w:rPr>
              <w:t>What happens to the electrons?</w:t>
            </w:r>
          </w:p>
        </w:tc>
        <w:tc>
          <w:tcPr>
            <w:tcW w:w="1647" w:type="dxa"/>
          </w:tcPr>
          <w:p w:rsidR="00CE1098" w:rsidRPr="00CE1098" w:rsidRDefault="00CE1098" w:rsidP="00CE1098">
            <w:pPr>
              <w:jc w:val="center"/>
              <w:rPr>
                <w:b/>
                <w:sz w:val="24"/>
              </w:rPr>
            </w:pPr>
            <w:r w:rsidRPr="00CE1098">
              <w:rPr>
                <w:b/>
                <w:sz w:val="24"/>
              </w:rPr>
              <w:t>Conductivity</w:t>
            </w:r>
          </w:p>
        </w:tc>
        <w:tc>
          <w:tcPr>
            <w:tcW w:w="1647" w:type="dxa"/>
          </w:tcPr>
          <w:p w:rsidR="00CE1098" w:rsidRPr="00CE1098" w:rsidRDefault="00CE1098" w:rsidP="00CE1098">
            <w:pPr>
              <w:jc w:val="center"/>
              <w:rPr>
                <w:b/>
                <w:sz w:val="24"/>
              </w:rPr>
            </w:pPr>
            <w:r w:rsidRPr="00CE1098">
              <w:rPr>
                <w:b/>
                <w:sz w:val="24"/>
              </w:rPr>
              <w:t>Melting Point</w:t>
            </w:r>
          </w:p>
        </w:tc>
        <w:tc>
          <w:tcPr>
            <w:tcW w:w="1647" w:type="dxa"/>
          </w:tcPr>
          <w:p w:rsidR="00CE1098" w:rsidRPr="00CE1098" w:rsidRDefault="00CE1098" w:rsidP="00CE1098">
            <w:pPr>
              <w:jc w:val="center"/>
              <w:rPr>
                <w:b/>
                <w:sz w:val="24"/>
              </w:rPr>
            </w:pPr>
            <w:r w:rsidRPr="00CE1098">
              <w:rPr>
                <w:b/>
                <w:sz w:val="24"/>
              </w:rPr>
              <w:t>Other Properties</w:t>
            </w:r>
          </w:p>
        </w:tc>
        <w:tc>
          <w:tcPr>
            <w:tcW w:w="1647" w:type="dxa"/>
          </w:tcPr>
          <w:p w:rsidR="00CE1098" w:rsidRPr="00CE1098" w:rsidRDefault="00CE1098" w:rsidP="00CE1098">
            <w:pPr>
              <w:jc w:val="center"/>
              <w:rPr>
                <w:b/>
                <w:sz w:val="24"/>
              </w:rPr>
            </w:pPr>
            <w:r w:rsidRPr="00CE1098">
              <w:rPr>
                <w:b/>
                <w:sz w:val="24"/>
              </w:rPr>
              <w:t>Examples</w:t>
            </w:r>
          </w:p>
        </w:tc>
      </w:tr>
      <w:tr w:rsidR="00CE1098" w:rsidTr="00CE1098">
        <w:tc>
          <w:tcPr>
            <w:tcW w:w="1647" w:type="dxa"/>
          </w:tcPr>
          <w:p w:rsidR="00CE1098" w:rsidRPr="00CE1098" w:rsidRDefault="00CE1098">
            <w:pPr>
              <w:rPr>
                <w:b/>
                <w:sz w:val="32"/>
              </w:rPr>
            </w:pPr>
          </w:p>
          <w:p w:rsidR="00CE1098" w:rsidRPr="00CE1098" w:rsidRDefault="00CE1098">
            <w:pPr>
              <w:rPr>
                <w:b/>
                <w:sz w:val="32"/>
              </w:rPr>
            </w:pPr>
          </w:p>
          <w:p w:rsidR="00CE1098" w:rsidRPr="00CE1098" w:rsidRDefault="00CE1098">
            <w:pPr>
              <w:rPr>
                <w:b/>
                <w:sz w:val="32"/>
              </w:rPr>
            </w:pPr>
          </w:p>
          <w:p w:rsidR="00CE1098" w:rsidRPr="00CE1098" w:rsidRDefault="00CE1098">
            <w:pPr>
              <w:rPr>
                <w:b/>
                <w:sz w:val="32"/>
              </w:rPr>
            </w:pPr>
            <w:r w:rsidRPr="00CE1098">
              <w:rPr>
                <w:b/>
                <w:sz w:val="32"/>
              </w:rPr>
              <w:t>Ionic</w:t>
            </w:r>
          </w:p>
          <w:p w:rsidR="00CE1098" w:rsidRPr="00CE1098" w:rsidRDefault="00CE1098">
            <w:pPr>
              <w:rPr>
                <w:b/>
                <w:sz w:val="32"/>
              </w:rPr>
            </w:pPr>
          </w:p>
          <w:p w:rsidR="00CE1098" w:rsidRPr="00CE1098" w:rsidRDefault="00CE1098">
            <w:pPr>
              <w:rPr>
                <w:b/>
                <w:sz w:val="32"/>
              </w:rPr>
            </w:pPr>
          </w:p>
        </w:tc>
        <w:tc>
          <w:tcPr>
            <w:tcW w:w="1647" w:type="dxa"/>
          </w:tcPr>
          <w:p w:rsidR="00CE1098" w:rsidRDefault="00CE1098"/>
        </w:tc>
        <w:tc>
          <w:tcPr>
            <w:tcW w:w="1647" w:type="dxa"/>
          </w:tcPr>
          <w:p w:rsidR="00CE1098" w:rsidRDefault="00CE1098"/>
        </w:tc>
        <w:tc>
          <w:tcPr>
            <w:tcW w:w="1647" w:type="dxa"/>
          </w:tcPr>
          <w:p w:rsidR="00CE1098" w:rsidRDefault="00CE1098"/>
        </w:tc>
        <w:tc>
          <w:tcPr>
            <w:tcW w:w="1647" w:type="dxa"/>
          </w:tcPr>
          <w:p w:rsidR="00CE1098" w:rsidRDefault="00CE1098"/>
        </w:tc>
        <w:tc>
          <w:tcPr>
            <w:tcW w:w="1647" w:type="dxa"/>
          </w:tcPr>
          <w:p w:rsidR="00CE1098" w:rsidRDefault="00CE1098"/>
        </w:tc>
        <w:tc>
          <w:tcPr>
            <w:tcW w:w="1647" w:type="dxa"/>
          </w:tcPr>
          <w:p w:rsidR="00CE1098" w:rsidRDefault="00CE1098"/>
        </w:tc>
        <w:tc>
          <w:tcPr>
            <w:tcW w:w="1647" w:type="dxa"/>
          </w:tcPr>
          <w:p w:rsidR="00CE1098" w:rsidRDefault="00CE1098"/>
        </w:tc>
      </w:tr>
      <w:tr w:rsidR="00CE1098" w:rsidTr="00CE1098">
        <w:tc>
          <w:tcPr>
            <w:tcW w:w="1647" w:type="dxa"/>
          </w:tcPr>
          <w:p w:rsidR="00CE1098" w:rsidRPr="00CE1098" w:rsidRDefault="00CE1098">
            <w:pPr>
              <w:rPr>
                <w:b/>
                <w:sz w:val="32"/>
              </w:rPr>
            </w:pPr>
          </w:p>
          <w:p w:rsidR="00CE1098" w:rsidRPr="00CE1098" w:rsidRDefault="00CE1098">
            <w:pPr>
              <w:rPr>
                <w:b/>
                <w:sz w:val="32"/>
              </w:rPr>
            </w:pPr>
          </w:p>
          <w:p w:rsidR="00CE1098" w:rsidRPr="00CE1098" w:rsidRDefault="00CE1098">
            <w:pPr>
              <w:rPr>
                <w:b/>
                <w:sz w:val="32"/>
              </w:rPr>
            </w:pPr>
            <w:r w:rsidRPr="00CE1098">
              <w:rPr>
                <w:b/>
                <w:sz w:val="32"/>
              </w:rPr>
              <w:t>Covalent (Molecular)</w:t>
            </w:r>
          </w:p>
          <w:p w:rsidR="00CE1098" w:rsidRPr="00CE1098" w:rsidRDefault="00CE1098">
            <w:pPr>
              <w:rPr>
                <w:b/>
                <w:sz w:val="32"/>
              </w:rPr>
            </w:pPr>
          </w:p>
          <w:p w:rsidR="00CE1098" w:rsidRPr="00CE1098" w:rsidRDefault="00CE1098">
            <w:pPr>
              <w:rPr>
                <w:b/>
                <w:sz w:val="32"/>
              </w:rPr>
            </w:pPr>
          </w:p>
        </w:tc>
        <w:tc>
          <w:tcPr>
            <w:tcW w:w="1647" w:type="dxa"/>
          </w:tcPr>
          <w:p w:rsidR="00CE1098" w:rsidRDefault="00CE1098"/>
        </w:tc>
        <w:tc>
          <w:tcPr>
            <w:tcW w:w="1647" w:type="dxa"/>
          </w:tcPr>
          <w:p w:rsidR="00CE1098" w:rsidRDefault="00CE1098"/>
        </w:tc>
        <w:tc>
          <w:tcPr>
            <w:tcW w:w="1647" w:type="dxa"/>
          </w:tcPr>
          <w:p w:rsidR="00CE1098" w:rsidRDefault="00CE1098"/>
        </w:tc>
        <w:tc>
          <w:tcPr>
            <w:tcW w:w="1647" w:type="dxa"/>
          </w:tcPr>
          <w:p w:rsidR="00CE1098" w:rsidRDefault="00CE1098"/>
        </w:tc>
        <w:tc>
          <w:tcPr>
            <w:tcW w:w="1647" w:type="dxa"/>
          </w:tcPr>
          <w:p w:rsidR="00CE1098" w:rsidRDefault="00CE1098"/>
        </w:tc>
        <w:tc>
          <w:tcPr>
            <w:tcW w:w="1647" w:type="dxa"/>
          </w:tcPr>
          <w:p w:rsidR="00CE1098" w:rsidRDefault="00CE1098"/>
        </w:tc>
        <w:tc>
          <w:tcPr>
            <w:tcW w:w="1647" w:type="dxa"/>
          </w:tcPr>
          <w:p w:rsidR="00CE1098" w:rsidRDefault="00CE1098"/>
        </w:tc>
      </w:tr>
      <w:tr w:rsidR="00CE1098" w:rsidTr="00CE1098">
        <w:tc>
          <w:tcPr>
            <w:tcW w:w="1647" w:type="dxa"/>
          </w:tcPr>
          <w:p w:rsidR="00CE1098" w:rsidRPr="00CE1098" w:rsidRDefault="00CE1098">
            <w:pPr>
              <w:rPr>
                <w:b/>
                <w:sz w:val="32"/>
              </w:rPr>
            </w:pPr>
          </w:p>
          <w:p w:rsidR="00CE1098" w:rsidRPr="00CE1098" w:rsidRDefault="00CE1098">
            <w:pPr>
              <w:rPr>
                <w:b/>
                <w:sz w:val="32"/>
              </w:rPr>
            </w:pPr>
          </w:p>
          <w:p w:rsidR="00CE1098" w:rsidRPr="00CE1098" w:rsidRDefault="00CE1098">
            <w:pPr>
              <w:rPr>
                <w:b/>
                <w:sz w:val="32"/>
              </w:rPr>
            </w:pPr>
            <w:r w:rsidRPr="00CE1098">
              <w:rPr>
                <w:b/>
                <w:sz w:val="32"/>
              </w:rPr>
              <w:t>Metallic</w:t>
            </w:r>
          </w:p>
          <w:p w:rsidR="00CE1098" w:rsidRPr="00CE1098" w:rsidRDefault="00CE1098">
            <w:pPr>
              <w:rPr>
                <w:b/>
                <w:sz w:val="32"/>
              </w:rPr>
            </w:pPr>
          </w:p>
          <w:p w:rsidR="00CE1098" w:rsidRPr="00CE1098" w:rsidRDefault="00CE1098">
            <w:pPr>
              <w:rPr>
                <w:b/>
                <w:sz w:val="32"/>
              </w:rPr>
            </w:pPr>
          </w:p>
          <w:p w:rsidR="00CE1098" w:rsidRPr="00CE1098" w:rsidRDefault="00CE1098">
            <w:pPr>
              <w:rPr>
                <w:b/>
                <w:sz w:val="32"/>
              </w:rPr>
            </w:pPr>
          </w:p>
        </w:tc>
        <w:tc>
          <w:tcPr>
            <w:tcW w:w="1647" w:type="dxa"/>
          </w:tcPr>
          <w:p w:rsidR="00CE1098" w:rsidRDefault="00CE1098"/>
        </w:tc>
        <w:tc>
          <w:tcPr>
            <w:tcW w:w="1647" w:type="dxa"/>
          </w:tcPr>
          <w:p w:rsidR="00CE1098" w:rsidRDefault="00CE1098"/>
        </w:tc>
        <w:tc>
          <w:tcPr>
            <w:tcW w:w="1647" w:type="dxa"/>
          </w:tcPr>
          <w:p w:rsidR="00CE1098" w:rsidRDefault="00CE1098"/>
        </w:tc>
        <w:tc>
          <w:tcPr>
            <w:tcW w:w="1647" w:type="dxa"/>
          </w:tcPr>
          <w:p w:rsidR="00CE1098" w:rsidRDefault="00CE1098"/>
        </w:tc>
        <w:tc>
          <w:tcPr>
            <w:tcW w:w="1647" w:type="dxa"/>
          </w:tcPr>
          <w:p w:rsidR="00CE1098" w:rsidRDefault="00CE1098"/>
        </w:tc>
        <w:tc>
          <w:tcPr>
            <w:tcW w:w="1647" w:type="dxa"/>
          </w:tcPr>
          <w:p w:rsidR="00CE1098" w:rsidRDefault="00CE1098"/>
        </w:tc>
        <w:tc>
          <w:tcPr>
            <w:tcW w:w="1647" w:type="dxa"/>
          </w:tcPr>
          <w:p w:rsidR="00CE1098" w:rsidRDefault="00CE1098"/>
        </w:tc>
      </w:tr>
    </w:tbl>
    <w:p w:rsidR="003B2421" w:rsidRDefault="00CE10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92pt;margin-top:20.5pt;width:59.45pt;height:31.95pt;z-index:251662336;mso-position-horizontal-relative:text;mso-position-vertical-relative:text" filled="f" stroked="f">
            <v:textbox>
              <w:txbxContent>
                <w:p w:rsidR="00CE1098" w:rsidRPr="00CE1098" w:rsidRDefault="00CE1098">
                  <w:pPr>
                    <w:rPr>
                      <w:sz w:val="28"/>
                    </w:rPr>
                  </w:pPr>
                  <w:r w:rsidRPr="00CE1098">
                    <w:rPr>
                      <w:sz w:val="28"/>
                    </w:rPr>
                    <w:t>3.3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0.3pt;margin-top:20.5pt;width:27.4pt;height:23.95pt;z-index:251660288;mso-position-horizontal-relative:text;mso-position-vertical-relative:text" filled="f" stroked="f">
            <v:textbox>
              <w:txbxContent>
                <w:p w:rsidR="00CE1098" w:rsidRPr="00CE1098" w:rsidRDefault="00CE1098">
                  <w:pPr>
                    <w:rPr>
                      <w:sz w:val="28"/>
                    </w:rPr>
                  </w:pPr>
                  <w:r w:rsidRPr="00CE1098">
                    <w:rPr>
                      <w:sz w:val="2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02.85pt;margin-top:19.35pt;width:33.15pt;height:25.1pt;z-index:251661312;mso-position-horizontal-relative:text;mso-position-vertical-relative:text" filled="f" stroked="f">
            <v:textbox>
              <w:txbxContent>
                <w:p w:rsidR="00CE1098" w:rsidRPr="00CE1098" w:rsidRDefault="00CE1098">
                  <w:pPr>
                    <w:rPr>
                      <w:sz w:val="28"/>
                    </w:rPr>
                  </w:pPr>
                  <w:r w:rsidRPr="00CE1098">
                    <w:rPr>
                      <w:sz w:val="28"/>
                    </w:rPr>
                    <w:t>1.7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.7pt;margin-top:44.45pt;width:612.6pt;height:68.6pt;flip:y;z-index:251659264;mso-position-horizontal-relative:text;mso-position-vertical-relative:text" o:connectortype="straight"/>
        </w:pict>
      </w:r>
      <w:r>
        <w:rPr>
          <w:noProof/>
        </w:rPr>
        <w:pict>
          <v:rect id="_x0000_s1026" style="position:absolute;margin-left:21.7pt;margin-top:44.45pt;width:612.6pt;height:68.6pt;z-index:251658240;mso-position-horizontal-relative:text;mso-position-vertical-relative:text"/>
        </w:pict>
      </w:r>
    </w:p>
    <w:sectPr w:rsidR="003B2421" w:rsidSect="00281F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1F4E"/>
    <w:rsid w:val="00281F4E"/>
    <w:rsid w:val="003B2421"/>
    <w:rsid w:val="00CE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Surry County Schools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billingsm</dc:creator>
  <cp:keywords/>
  <dc:description/>
  <cp:lastModifiedBy>billingsm</cp:lastModifiedBy>
  <cp:revision>1</cp:revision>
  <dcterms:created xsi:type="dcterms:W3CDTF">2012-09-24T14:00:00Z</dcterms:created>
  <dcterms:modified xsi:type="dcterms:W3CDTF">2012-09-24T15:32:00Z</dcterms:modified>
</cp:coreProperties>
</file>